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C'est aussi une capitale mondiale des congrès, de la culture, du luxe, du tourisme, qui abrite le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Siège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 xml:space="preserve"> de l’UNESCO et qui accueillera les Jeux olympiques en 2024.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- L’aire urbaine parisienne concentre près de 20% de la population française23</w:t>
      </w:r>
      <w:r>
        <w:rPr>
          <w:rFonts w:ascii="Calibri Light" w:hAnsi="Calibri Light" w:cs="CIDFont+F1"/>
          <w:color w:val="000000"/>
          <w:sz w:val="24"/>
          <w:szCs w:val="24"/>
        </w:rPr>
        <w:t xml:space="preserve">, et une proportion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 xml:space="preserve">importante des emplois métropolitains 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. Elle est le premier bassin d'emploi en Europe.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- Paris occupe une position centrale dans les réseaux de transports (autoroutiers, ferroviaires,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proofErr w:type="gramStart"/>
      <w:r>
        <w:rPr>
          <w:rFonts w:ascii="Calibri Light" w:hAnsi="Calibri Light" w:cs="CIDFont+F1"/>
          <w:color w:val="000000"/>
          <w:sz w:val="24"/>
          <w:szCs w:val="24"/>
        </w:rPr>
        <w:t>aérien</w:t>
      </w:r>
      <w:proofErr w:type="gramEnd"/>
      <w:r w:rsidRPr="00DD70FB">
        <w:rPr>
          <w:rFonts w:ascii="Calibri Light" w:hAnsi="Calibri Light" w:cs="CIDFont+F1"/>
          <w:color w:val="000000"/>
          <w:sz w:val="24"/>
          <w:szCs w:val="24"/>
        </w:rPr>
        <w:t xml:space="preserve">) et de communications : la capitale est à la fois le principal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nœud</w:t>
      </w:r>
      <w:r>
        <w:rPr>
          <w:rFonts w:ascii="Calibri Light" w:hAnsi="Calibri Light" w:cs="CIDFont+F1"/>
          <w:color w:val="000000"/>
          <w:sz w:val="24"/>
          <w:szCs w:val="24"/>
        </w:rPr>
        <w:t xml:space="preserve"> des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réseaux nationaux et une interface avec le système-monde.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L'agglomération parisienne s’organise de manière po</w:t>
      </w:r>
      <w:r>
        <w:rPr>
          <w:rFonts w:ascii="Calibri Light" w:hAnsi="Calibri Light" w:cs="CIDFont+F1"/>
          <w:color w:val="000000"/>
          <w:sz w:val="24"/>
          <w:szCs w:val="24"/>
        </w:rPr>
        <w:t xml:space="preserve">lycentrique. Le centre de Paris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concentre encore de nombreuses activités,</w:t>
      </w:r>
      <w:r>
        <w:rPr>
          <w:rFonts w:ascii="Calibri Light" w:hAnsi="Calibri Light" w:cs="CIDFont+F1"/>
          <w:color w:val="000000"/>
          <w:sz w:val="24"/>
          <w:szCs w:val="24"/>
        </w:rPr>
        <w:t xml:space="preserve"> mais l'expansion des dernières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décennies a fait émerger de nouveaux pôles à La Défense (plus forte con</w:t>
      </w:r>
      <w:r>
        <w:rPr>
          <w:rFonts w:ascii="Calibri Light" w:hAnsi="Calibri Light" w:cs="CIDFont+F1"/>
          <w:color w:val="000000"/>
          <w:sz w:val="24"/>
          <w:szCs w:val="24"/>
        </w:rPr>
        <w:t>centration de sièges sociaux en Europe)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, dans la Plaine Saint-Denis (industries du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4"/>
          <w:color w:val="EE7D31"/>
          <w:sz w:val="24"/>
          <w:szCs w:val="24"/>
        </w:rPr>
      </w:pPr>
      <w:proofErr w:type="gramStart"/>
      <w:r w:rsidRPr="00DD70FB">
        <w:rPr>
          <w:rFonts w:ascii="Calibri Light" w:hAnsi="Calibri Light" w:cs="CIDFont+F1"/>
          <w:color w:val="000000"/>
          <w:sz w:val="24"/>
          <w:szCs w:val="24"/>
        </w:rPr>
        <w:t>numérique</w:t>
      </w:r>
      <w:proofErr w:type="gramEnd"/>
      <w:r w:rsidRPr="00DD70FB">
        <w:rPr>
          <w:rFonts w:ascii="Calibri Light" w:hAnsi="Calibri Light" w:cs="CIDFont+F1"/>
          <w:color w:val="000000"/>
          <w:sz w:val="24"/>
          <w:szCs w:val="24"/>
        </w:rPr>
        <w:t xml:space="preserve">), autour de Villejuif (technologies de la santé) ou du plateau de Saclay (hautes technologies) </w:t>
      </w:r>
      <w:r>
        <w:rPr>
          <w:rFonts w:ascii="Calibri Light" w:hAnsi="Calibri Light" w:cs="CIDFont+F4"/>
          <w:color w:val="EE7D31"/>
          <w:sz w:val="24"/>
          <w:szCs w:val="24"/>
        </w:rPr>
        <w:t>-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. Ces pôles seront reliés par le</w:t>
      </w:r>
      <w:r>
        <w:rPr>
          <w:rFonts w:ascii="Calibri Light" w:hAnsi="Calibri Light" w:cs="CIDFont+F4"/>
          <w:color w:val="EE7D31"/>
          <w:sz w:val="24"/>
          <w:szCs w:val="24"/>
        </w:rPr>
        <w:t xml:space="preserve">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Grand Paris Express, vaste rocade de métro, à l'horizon 2030.</w:t>
      </w:r>
    </w:p>
    <w:p w:rsidR="00316CDE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  <w:r w:rsidRPr="00DD70FB">
        <w:rPr>
          <w:rFonts w:ascii="Calibri Light" w:hAnsi="Calibri Light" w:cs="CIDFont+F1"/>
          <w:color w:val="000000"/>
          <w:sz w:val="24"/>
          <w:szCs w:val="24"/>
        </w:rPr>
        <w:t>Le projet de Métropole du Grand Paris entend cr</w:t>
      </w:r>
      <w:r>
        <w:rPr>
          <w:rFonts w:ascii="Calibri Light" w:hAnsi="Calibri Light" w:cs="CIDFont+F1"/>
          <w:color w:val="000000"/>
          <w:sz w:val="24"/>
          <w:szCs w:val="24"/>
        </w:rPr>
        <w:t xml:space="preserve">éer une gouvernance à l’échelle </w:t>
      </w:r>
      <w:r w:rsidRPr="00DD70FB">
        <w:rPr>
          <w:rFonts w:ascii="Calibri Light" w:hAnsi="Calibri Light" w:cs="CIDFont+F1"/>
          <w:color w:val="000000"/>
          <w:sz w:val="24"/>
          <w:szCs w:val="24"/>
        </w:rPr>
        <w:t>d’une métropole mondiale</w:t>
      </w:r>
      <w:r>
        <w:rPr>
          <w:rFonts w:ascii="Calibri Light" w:hAnsi="Calibri Light" w:cs="CIDFont+F1"/>
          <w:color w:val="000000"/>
          <w:sz w:val="24"/>
          <w:szCs w:val="24"/>
        </w:rPr>
        <w:t>.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IDFont+F1"/>
          <w:color w:val="000000"/>
          <w:sz w:val="24"/>
          <w:szCs w:val="24"/>
        </w:rPr>
      </w:pP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32"/>
          <w:szCs w:val="32"/>
        </w:rPr>
      </w:pPr>
      <w:r w:rsidRPr="00DD70FB">
        <w:rPr>
          <w:rFonts w:asciiTheme="majorHAnsi" w:hAnsiTheme="majorHAnsi" w:cs="CIDFont+F2"/>
          <w:b/>
          <w:color w:val="FF0000"/>
          <w:sz w:val="32"/>
          <w:szCs w:val="32"/>
        </w:rPr>
        <w:t>B. L’affirmation des métropoles régionales</w:t>
      </w:r>
      <w:r w:rsidRPr="00DD70FB">
        <w:rPr>
          <w:rFonts w:asciiTheme="majorHAnsi" w:hAnsiTheme="majorHAnsi" w:cs="CIDFont+F2"/>
          <w:b/>
          <w:color w:val="FF0000"/>
          <w:sz w:val="32"/>
          <w:szCs w:val="32"/>
        </w:rPr>
        <w:t> :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32"/>
          <w:szCs w:val="32"/>
        </w:rPr>
      </w:pP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28"/>
          <w:szCs w:val="28"/>
        </w:rPr>
      </w:pPr>
      <w:r>
        <w:rPr>
          <w:rFonts w:asciiTheme="majorHAnsi" w:hAnsiTheme="majorHAnsi" w:cs="CIDFont+F2"/>
          <w:b/>
          <w:color w:val="2F5497"/>
          <w:sz w:val="28"/>
          <w:szCs w:val="28"/>
        </w:rPr>
        <w:t xml:space="preserve"> </w:t>
      </w:r>
      <w:r w:rsidRPr="00DD70FB">
        <w:rPr>
          <w:rFonts w:asciiTheme="majorHAnsi" w:hAnsiTheme="majorHAnsi" w:cs="CIDFont+F2"/>
          <w:b/>
          <w:color w:val="2F5497"/>
          <w:sz w:val="28"/>
          <w:szCs w:val="28"/>
        </w:rPr>
        <w:t>1. Un dynamisme remarquable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Le processus de concentration des activités de commandement et des emplois les plus qualifiés distingue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un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nombre restreint de métropoles : les métropoles régionales.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Leur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dynamisme traduit un phénomène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mondial : l’essor des grandes aires urbaines et le renforcement de leur rôle dans la mondialisation.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Elles constituent le second niveau de la hiérarchie métropolitaine française. I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l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s’agit d’aires urbaines centrées autour de vill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es de plus de 100 000 habitants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selon l’Insee (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comme Marseille, Lyon ou Lille). Les 15 principales métropoles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(avec Paris) portent aujourd’hui une part essentielle du dynamisme de la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France. Elles réalisent 51% du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produit intérieur brut (PIB) national, rassemblent 43% de l’emploi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et déposent 70% des demandes de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brevets alors qu’elles n’accueillent que 39% de la population. L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eur poids démographique et leur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rayonnement internatio</w:t>
      </w:r>
      <w:r>
        <w:rPr>
          <w:rFonts w:asciiTheme="majorHAnsi" w:hAnsiTheme="majorHAnsi" w:cs="CIDFont+F1"/>
          <w:color w:val="000000"/>
          <w:sz w:val="24"/>
          <w:szCs w:val="24"/>
        </w:rPr>
        <w:t>nal sont inégaux</w:t>
      </w:r>
      <w:r w:rsidRPr="00DD70FB">
        <w:rPr>
          <w:rFonts w:asciiTheme="majorHAnsi" w:hAnsiTheme="majorHAnsi" w:cs="CIDFont+F4"/>
          <w:color w:val="EE7D31"/>
          <w:sz w:val="24"/>
          <w:szCs w:val="24"/>
        </w:rPr>
        <w:t xml:space="preserve">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et bien plus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modeste que celui de Paris, du fait de leur métropolisation incomplète. M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ais elles détiennent toutes des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fonctions dites métropolitaines, essentielles pour affronter la concu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rrence territoriale à l’échelle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européenne et internationale. Elles concentrent les emplois et les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équipements de gamme supérieure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(universités, théâtres, hôpit</w:t>
      </w:r>
      <w:r>
        <w:rPr>
          <w:rFonts w:asciiTheme="majorHAnsi" w:hAnsiTheme="majorHAnsi" w:cs="CIDFont+F1"/>
          <w:color w:val="000000"/>
          <w:sz w:val="24"/>
          <w:szCs w:val="24"/>
        </w:rPr>
        <w:t>aux universitaires, gares TGV…)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Elles représentent des concentrés d’innovations et de technologies, des carrefours de flux humains,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matériels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et numériques, des lieux de pouvoir et de prise de décision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. La population diversifiée et,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notamment, la forte proportion de jeunes qu’elles accueillent, les dotent d’un important capital social.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Elles disposent d’une aire de rayonnement étendue, qui leur confère une certaine centralité à l’échelle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régionale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: ce sont elles qui structurent le t</w:t>
      </w:r>
      <w:r>
        <w:rPr>
          <w:rFonts w:asciiTheme="majorHAnsi" w:hAnsiTheme="majorHAnsi" w:cs="CIDFont+F1"/>
          <w:color w:val="000000"/>
          <w:sz w:val="24"/>
          <w:szCs w:val="24"/>
        </w:rPr>
        <w:t>erritoire à l’échelle régionale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28"/>
          <w:szCs w:val="28"/>
        </w:rPr>
      </w:pPr>
      <w:r>
        <w:rPr>
          <w:rFonts w:asciiTheme="majorHAnsi" w:hAnsiTheme="majorHAnsi" w:cs="CIDFont+F2"/>
          <w:b/>
          <w:color w:val="2F5497"/>
          <w:sz w:val="28"/>
          <w:szCs w:val="28"/>
        </w:rPr>
        <w:t xml:space="preserve"> </w:t>
      </w:r>
      <w:r w:rsidRPr="00DD70FB">
        <w:rPr>
          <w:rFonts w:asciiTheme="majorHAnsi" w:hAnsiTheme="majorHAnsi" w:cs="CIDFont+F2"/>
          <w:b/>
          <w:color w:val="2F5497"/>
          <w:sz w:val="28"/>
          <w:szCs w:val="28"/>
        </w:rPr>
        <w:t>2. De nécessaires adaptations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Confronté à l’importance croissante de ces métropoles régionales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et pour favoriser leur intégration aux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>
        <w:rPr>
          <w:rFonts w:asciiTheme="majorHAnsi" w:hAnsiTheme="majorHAnsi" w:cs="CIDFont+F1"/>
          <w:color w:val="000000"/>
          <w:sz w:val="24"/>
          <w:szCs w:val="24"/>
        </w:rPr>
        <w:t>réseaux</w:t>
      </w:r>
      <w:proofErr w:type="gramEnd"/>
      <w:r>
        <w:rPr>
          <w:rFonts w:asciiTheme="majorHAnsi" w:hAnsiTheme="majorHAnsi" w:cs="CIDFont+F1"/>
          <w:color w:val="000000"/>
          <w:sz w:val="24"/>
          <w:szCs w:val="24"/>
        </w:rPr>
        <w:t xml:space="preserve"> urbains européens, la France s’est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dotée (par des lois adoptées en 2010, 2014 et 2015) d’une nouvelle struct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ure administrative, en plus des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collectivités territoria</w:t>
      </w:r>
      <w:r>
        <w:rPr>
          <w:rFonts w:asciiTheme="majorHAnsi" w:hAnsiTheme="majorHAnsi" w:cs="CIDFont+F1"/>
          <w:color w:val="000000"/>
          <w:sz w:val="24"/>
          <w:szCs w:val="24"/>
        </w:rPr>
        <w:t>les existantes : les métropoles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, qu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i gèrent les plus grandes aires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urbaines et qui disposent de compétences élargies par rappor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t aux simples communes. </w:t>
      </w:r>
      <w:proofErr w:type="gramStart"/>
      <w:r>
        <w:rPr>
          <w:rFonts w:asciiTheme="majorHAnsi" w:hAnsiTheme="majorHAnsi" w:cs="CIDFont+F1"/>
          <w:color w:val="000000"/>
          <w:sz w:val="24"/>
          <w:szCs w:val="24"/>
        </w:rPr>
        <w:t>la</w:t>
      </w:r>
      <w:proofErr w:type="gramEnd"/>
      <w:r>
        <w:rPr>
          <w:rFonts w:asciiTheme="majorHAnsi" w:hAnsiTheme="majorHAnsi" w:cs="CIDFont+F1"/>
          <w:color w:val="000000"/>
          <w:sz w:val="24"/>
          <w:szCs w:val="24"/>
        </w:rPr>
        <w:t xml:space="preserve"> Métropole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de Lyon, qui dispose des compétences du Département du Rhône sur son territoire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Au 1er janvier 2019, il existe vingt-et-une métropoles : 19 métropoles de droit commun (Bordeaux, Brest,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Clermont-Ferrand, Dijon, Grenoble, Lille, Metz, Montpellier, Toulon, Nancy, Nantes, Nice, Orléans,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Rennes, Rouen, Saint-Étienne, Strasbourg, Toulouse et Tours) et deux métropoles à statut particulier (Aix-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Marseille et le Grand Paris). La métropole de Lyon, créée par la loi MAPTAM, est un cas particulier puisqu'il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s'agit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d'une collectivité territoriale à statut particulier et non d'une intercommunalité.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La capacité des principales métropoles françaises à fonctionner en réseau et à représenter une force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lastRenderedPageBreak/>
        <w:t>collective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apparaît cruciale pour leur positionnement à l’échelle européenne et internationale.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L’organisation d’une conférence des métropoles, le C15, leur donn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era la possibilité de se saisir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progressivement de tous les enjeux majeurs liés à leur développement et à leur attractivité : rayonnement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universitaire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 et recherche, grands événements, investissements productifs, transformation numérique,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DD70FB">
        <w:rPr>
          <w:rFonts w:asciiTheme="majorHAnsi" w:hAnsiTheme="majorHAnsi" w:cs="CIDFont+F1"/>
          <w:color w:val="000000"/>
          <w:sz w:val="24"/>
          <w:szCs w:val="24"/>
        </w:rPr>
        <w:t>etc</w:t>
      </w:r>
      <w:proofErr w:type="gramEnd"/>
      <w:r w:rsidRPr="00DD70FB">
        <w:rPr>
          <w:rFonts w:asciiTheme="majorHAnsi" w:hAnsiTheme="majorHAnsi" w:cs="CIDFont+F1"/>
          <w:color w:val="000000"/>
          <w:sz w:val="24"/>
          <w:szCs w:val="24"/>
        </w:rPr>
        <w:t>.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28"/>
          <w:szCs w:val="28"/>
        </w:rPr>
      </w:pPr>
      <w:r>
        <w:rPr>
          <w:rFonts w:asciiTheme="majorHAnsi" w:hAnsiTheme="majorHAnsi" w:cs="CIDFont+F2"/>
          <w:b/>
          <w:color w:val="2F5497"/>
          <w:sz w:val="28"/>
          <w:szCs w:val="28"/>
        </w:rPr>
        <w:t xml:space="preserve"> </w:t>
      </w:r>
      <w:r w:rsidRPr="00DD70FB">
        <w:rPr>
          <w:rFonts w:asciiTheme="majorHAnsi" w:hAnsiTheme="majorHAnsi" w:cs="CIDFont+F2"/>
          <w:b/>
          <w:color w:val="2F5497"/>
          <w:sz w:val="28"/>
          <w:szCs w:val="28"/>
        </w:rPr>
        <w:t>3. Des défis économiques, sociaux et environnementaux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Les métropoles régionales sont confrontées à de nomb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reux défis économiques, sociaux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et environnementaux :</w:t>
      </w:r>
    </w:p>
    <w:p w:rsidR="00DD70FB" w:rsidRP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>- Un double défi interne. Alors même que les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inégalités se sont creusées en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leur sein, que des poches de pauvreté s’y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sont développées dans certains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quartiers en même temps que la gentrification 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s’imposait dans d’autres, les métropoles doivent permettre à l’e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nsemble des populations qu’elle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accueillent d’accéder aux aménités et services qu’elles offrent (d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u logement aux soins en passant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par les équipements de loisirs) en mobilisant les outils et modes connectés que la </w:t>
      </w:r>
      <w:r w:rsidRPr="00DD70FB">
        <w:rPr>
          <w:rFonts w:asciiTheme="majorHAnsi" w:hAnsiTheme="majorHAnsi" w:cs="CIDFont+F4"/>
          <w:color w:val="000000"/>
          <w:sz w:val="24"/>
          <w:szCs w:val="24"/>
        </w:rPr>
        <w:t xml:space="preserve">smart city 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(ou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ville intelligente) met en avant. Elles doivent également inscr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ire leur développement dans une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démarche de durabilité et de préservation des ressources.</w:t>
      </w:r>
    </w:p>
    <w:p w:rsidR="00DD70FB" w:rsidRDefault="00DD70FB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DD70FB">
        <w:rPr>
          <w:rFonts w:asciiTheme="majorHAnsi" w:hAnsiTheme="majorHAnsi" w:cs="CIDFont+F1"/>
          <w:color w:val="000000"/>
          <w:sz w:val="24"/>
          <w:szCs w:val="24"/>
        </w:rPr>
        <w:t xml:space="preserve">- Un défi externe. Les métropoles doivent renforcer leur rôle et assumer leurs responsabilités </w:t>
      </w:r>
      <w:r w:rsidR="006B52A5" w:rsidRPr="00DD70FB">
        <w:rPr>
          <w:rFonts w:asciiTheme="majorHAnsi" w:hAnsiTheme="majorHAnsi" w:cs="CIDFont+F1"/>
          <w:color w:val="000000"/>
          <w:sz w:val="24"/>
          <w:szCs w:val="24"/>
        </w:rPr>
        <w:t>vis-à-vis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des territoires proches. Elles doivent reconnaître les liens d’i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nterdépendance qu’elles tissent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avec eux et leurs apports qui contribuent aussi au développement métropolitain. L’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intégration de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ces territoires dans le cadre d’une gouvernance partagée pourrait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 asseoir une véritable alliance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des territoires. Cette dernière doit permettre de chaîner tous les terr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itoires les uns aux autres, des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grandes aires urbaines aux espaces ruraux, en passant par les espac</w:t>
      </w:r>
      <w:r w:rsidR="006B52A5">
        <w:rPr>
          <w:rFonts w:asciiTheme="majorHAnsi" w:hAnsiTheme="majorHAnsi" w:cs="CIDFont+F1"/>
          <w:color w:val="000000"/>
          <w:sz w:val="24"/>
          <w:szCs w:val="24"/>
        </w:rPr>
        <w:t xml:space="preserve">es périurbains, dans toute leur </w:t>
      </w:r>
      <w:r w:rsidRPr="00DD70FB">
        <w:rPr>
          <w:rFonts w:asciiTheme="majorHAnsi" w:hAnsiTheme="majorHAnsi" w:cs="CIDFont+F1"/>
          <w:color w:val="000000"/>
          <w:sz w:val="24"/>
          <w:szCs w:val="24"/>
        </w:rPr>
        <w:t>variété, les villes moyennes et petites ainsi que les bourgs-centres.</w:t>
      </w:r>
    </w:p>
    <w:p w:rsidR="006B52A5" w:rsidRDefault="006B52A5" w:rsidP="00DD70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:rsid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1F3864"/>
          <w:sz w:val="40"/>
          <w:szCs w:val="40"/>
          <w:u w:val="single"/>
        </w:rPr>
      </w:pPr>
      <w:r w:rsidRPr="006B52A5">
        <w:rPr>
          <w:rFonts w:asciiTheme="majorHAnsi" w:hAnsiTheme="majorHAnsi" w:cs="CIDFont+F2"/>
          <w:b/>
          <w:color w:val="1F3864"/>
          <w:sz w:val="40"/>
          <w:szCs w:val="40"/>
          <w:u w:val="single"/>
        </w:rPr>
        <w:t>II. Évolution de la place et du rôle des villes petites et moyennes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1F3864"/>
          <w:sz w:val="40"/>
          <w:szCs w:val="40"/>
          <w:u w:val="single"/>
        </w:rPr>
      </w:pPr>
    </w:p>
    <w:p w:rsidR="006B52A5" w:rsidRPr="006B52A5" w:rsidRDefault="006B52A5" w:rsidP="006B52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28"/>
          <w:szCs w:val="28"/>
        </w:rPr>
      </w:pPr>
      <w:r w:rsidRPr="006B52A5">
        <w:rPr>
          <w:rFonts w:asciiTheme="majorHAnsi" w:hAnsiTheme="majorHAnsi" w:cs="CIDFont+F2"/>
          <w:b/>
          <w:color w:val="2F5497"/>
          <w:sz w:val="28"/>
          <w:szCs w:val="28"/>
        </w:rPr>
        <w:t>Un ensemble hétérogène : une fonction de relais, des profils divers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CIDFont+F2"/>
          <w:b/>
          <w:color w:val="2F5497"/>
          <w:sz w:val="28"/>
          <w:szCs w:val="28"/>
        </w:rPr>
      </w:pP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Les petites villes, comptant entre 2500 et 20000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habitants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, rassemblent près de 20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millions d’habitants. Les villes moyennes quant à elles, c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omptant entre 20 000 et 100 000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habitants (pour l’Insee), accueillent 16 millions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d’habitants.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Ces v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illes ont globalement connu une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croissance démographique régulière depuis les années 1960, mais à un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rythme moins soutenu que celui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des métropoles. Si, en moyenne, le profil démographique est proche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des grandes villes, on remarque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cependant des différences notables. Ainsi, on y trouve en moyenne moin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s de jeunes en âge de faire des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études et de commencer une vie active : ce déficit est notamment lié à l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a présence des universités dans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les métropoles. En revanche, la part des plus de 60 ans est plus élevée dan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s les villes moyennes du sud de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la France.</w:t>
      </w:r>
    </w:p>
    <w:p w:rsid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>Une façon de définir les villes moyennes et petites, au-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delà des seuils démographiques,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est de les replacer dans la hiérarchie urbaine. Elles y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occuperaient le troisième rang,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derrière les métropoles et les grandes aires urbaines. Elles sont de fa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it considérées comme des villes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« intermédiaires », au sens d’intermédiation (relais) entre les métropoles 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t les territoires ruraux. Elles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jouent donc un rôle stratégique dans l'organisation du territoire, à toutes les échelles.</w:t>
      </w:r>
    </w:p>
    <w:p w:rsid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</w:p>
    <w:p w:rsidR="006B52A5" w:rsidRPr="006B52A5" w:rsidRDefault="006B52A5" w:rsidP="006B52A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b/>
          <w:color w:val="2F5497"/>
          <w:sz w:val="28"/>
          <w:szCs w:val="28"/>
        </w:rPr>
      </w:pPr>
      <w:r w:rsidRPr="006B52A5">
        <w:rPr>
          <w:rFonts w:asciiTheme="majorHAnsi" w:hAnsiTheme="majorHAnsi" w:cs="CIDFont+F2"/>
          <w:b/>
          <w:color w:val="2F5497"/>
          <w:sz w:val="28"/>
          <w:szCs w:val="28"/>
        </w:rPr>
        <w:t>Un ensemble hétérogène : un dynamisme contrasté</w:t>
      </w:r>
    </w:p>
    <w:p w:rsidR="006B52A5" w:rsidRPr="006B52A5" w:rsidRDefault="006B52A5" w:rsidP="006B52A5">
      <w:pPr>
        <w:pStyle w:val="Paragraphedeliste"/>
        <w:autoSpaceDE w:val="0"/>
        <w:autoSpaceDN w:val="0"/>
        <w:adjustRightInd w:val="0"/>
        <w:spacing w:after="0" w:line="240" w:lineRule="auto"/>
        <w:ind w:left="420"/>
        <w:rPr>
          <w:rFonts w:asciiTheme="majorHAnsi" w:hAnsiTheme="majorHAnsi" w:cs="CIDFont+F2"/>
          <w:b/>
          <w:color w:val="2F5497"/>
          <w:sz w:val="28"/>
          <w:szCs w:val="28"/>
        </w:rPr>
      </w:pP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>Elles présentent un dynamisme contrasté: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- Certaines subissent une dévitalisation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des centres villes</w:t>
      </w:r>
      <w:r>
        <w:rPr>
          <w:rFonts w:asciiTheme="majorHAnsi" w:hAnsiTheme="majorHAnsi" w:cs="CIDFont+F1"/>
          <w:color w:val="000000"/>
          <w:sz w:val="24"/>
          <w:szCs w:val="24"/>
        </w:rPr>
        <w:t>.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>- D’autres connaissent un renouveau porté par une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dynamique économique locale et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la valorisation du cadre de vie.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>Ces villes reflètent en fait des dynamiques territoriales plus larges. Les plus en difficulté se concentrent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6B52A5">
        <w:rPr>
          <w:rFonts w:asciiTheme="majorHAnsi" w:hAnsiTheme="majorHAnsi" w:cs="CIDFont+F1"/>
          <w:color w:val="000000"/>
          <w:sz w:val="24"/>
          <w:szCs w:val="24"/>
        </w:rPr>
        <w:t>dans</w:t>
      </w:r>
      <w:proofErr w:type="gramEnd"/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 les territoires en difficulté du Centre et du Nord-Est. Sur les littoraux atlantique et méditerranéen, et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6B52A5">
        <w:rPr>
          <w:rFonts w:asciiTheme="majorHAnsi" w:hAnsiTheme="majorHAnsi" w:cs="CIDFont+F1"/>
          <w:color w:val="000000"/>
          <w:sz w:val="24"/>
          <w:szCs w:val="24"/>
        </w:rPr>
        <w:t>dans</w:t>
      </w:r>
      <w:proofErr w:type="gramEnd"/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 le Sud, ces villes possèdent une attractivité résidentielle30, tandis qu’au nord-est et au nord du Massif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proofErr w:type="gramStart"/>
      <w:r w:rsidRPr="006B52A5">
        <w:rPr>
          <w:rFonts w:asciiTheme="majorHAnsi" w:hAnsiTheme="majorHAnsi" w:cs="CIDFont+F1"/>
          <w:color w:val="000000"/>
          <w:sz w:val="24"/>
          <w:szCs w:val="24"/>
        </w:rPr>
        <w:lastRenderedPageBreak/>
        <w:t>central</w:t>
      </w:r>
      <w:proofErr w:type="gramEnd"/>
      <w:r w:rsidRPr="006B52A5">
        <w:rPr>
          <w:rFonts w:asciiTheme="majorHAnsi" w:hAnsiTheme="majorHAnsi" w:cs="CIDFont+F1"/>
          <w:color w:val="000000"/>
          <w:sz w:val="24"/>
          <w:szCs w:val="24"/>
        </w:rPr>
        <w:t>, elles souffrent d'un déficit d'attractivité.</w:t>
      </w:r>
    </w:p>
    <w:p w:rsidR="006B52A5" w:rsidRPr="006B52A5" w:rsidRDefault="006B52A5" w:rsidP="006B52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1"/>
          <w:color w:val="000000"/>
          <w:sz w:val="24"/>
          <w:szCs w:val="24"/>
        </w:rPr>
      </w:pPr>
      <w:r w:rsidRPr="006B52A5">
        <w:rPr>
          <w:rFonts w:asciiTheme="majorHAnsi" w:hAnsiTheme="majorHAnsi" w:cs="CIDFont+F1"/>
          <w:color w:val="000000"/>
          <w:sz w:val="24"/>
          <w:szCs w:val="24"/>
        </w:rPr>
        <w:t>Le profil des villes moyennes est divers, mais on y o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bserve une surreprésentation de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trois activités : administration publique, service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s aux populations, activités de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fabrication. La Datar a établi divers profils type : ainsi, les villes péri-métropolita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ines,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qui appartiennent à l’aire d’influence d’une métropole, connaissent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un fort dynamisme démographique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 xml:space="preserve">et économique, à l'inverse des villes à dominante industrielle, en déclin ; 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les villes </w:t>
      </w:r>
      <w:proofErr w:type="spellStart"/>
      <w:r>
        <w:rPr>
          <w:rFonts w:asciiTheme="majorHAnsi" w:hAnsiTheme="majorHAnsi" w:cs="CIDFont+F1"/>
          <w:color w:val="000000"/>
          <w:sz w:val="24"/>
          <w:szCs w:val="24"/>
        </w:rPr>
        <w:t>tertiarisées</w:t>
      </w:r>
      <w:proofErr w:type="spellEnd"/>
      <w:r>
        <w:rPr>
          <w:rFonts w:asciiTheme="majorHAnsi" w:hAnsiTheme="majorHAnsi" w:cs="CIDFont+F1"/>
          <w:color w:val="000000"/>
          <w:sz w:val="24"/>
          <w:szCs w:val="24"/>
        </w:rPr>
        <w:t xml:space="preserve"> à forte </w:t>
      </w:r>
      <w:r w:rsidRPr="006B52A5">
        <w:rPr>
          <w:rFonts w:asciiTheme="majorHAnsi" w:hAnsiTheme="majorHAnsi" w:cs="CIDFont+F1"/>
          <w:color w:val="000000"/>
          <w:sz w:val="24"/>
          <w:szCs w:val="24"/>
        </w:rPr>
        <w:t>dimension administrative connaissent quant à elles des évolutions assez</w:t>
      </w:r>
      <w:r>
        <w:rPr>
          <w:rFonts w:asciiTheme="majorHAnsi" w:hAnsiTheme="majorHAnsi" w:cs="CIDFont+F1"/>
          <w:color w:val="000000"/>
          <w:sz w:val="24"/>
          <w:szCs w:val="24"/>
        </w:rPr>
        <w:t xml:space="preserve"> variées selon leur inscription </w:t>
      </w:r>
      <w:bookmarkStart w:id="0" w:name="_GoBack"/>
      <w:bookmarkEnd w:id="0"/>
      <w:r w:rsidRPr="006B52A5">
        <w:rPr>
          <w:rFonts w:asciiTheme="majorHAnsi" w:hAnsiTheme="majorHAnsi" w:cs="CIDFont+F1"/>
          <w:color w:val="000000"/>
          <w:sz w:val="24"/>
          <w:szCs w:val="24"/>
        </w:rPr>
        <w:t>territoriale.</w:t>
      </w:r>
    </w:p>
    <w:sectPr w:rsidR="006B52A5" w:rsidRPr="006B52A5" w:rsidSect="00DD7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C31C9"/>
    <w:multiLevelType w:val="hybridMultilevel"/>
    <w:tmpl w:val="4B542DE2"/>
    <w:lvl w:ilvl="0" w:tplc="10D653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B"/>
    <w:rsid w:val="00316CDE"/>
    <w:rsid w:val="006B52A5"/>
    <w:rsid w:val="00D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B80F4-10A7-492F-8417-B95CDE76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</cp:revision>
  <dcterms:created xsi:type="dcterms:W3CDTF">2022-01-03T08:44:00Z</dcterms:created>
  <dcterms:modified xsi:type="dcterms:W3CDTF">2022-01-03T09:02:00Z</dcterms:modified>
</cp:coreProperties>
</file>